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C5" w:rsidRDefault="008126C5" w:rsidP="00A06863">
      <w:pPr>
        <w:spacing w:line="360" w:lineRule="auto"/>
        <w:rPr>
          <w:rFonts w:ascii="Times New Roman" w:hAnsi="Times New Roman"/>
          <w:b/>
          <w:sz w:val="24"/>
          <w:szCs w:val="24"/>
        </w:rPr>
      </w:pPr>
      <w:r>
        <w:rPr>
          <w:rFonts w:ascii="Times New Roman" w:hAnsi="Times New Roman"/>
          <w:b/>
          <w:sz w:val="24"/>
          <w:szCs w:val="24"/>
        </w:rPr>
        <w:t xml:space="preserve">                                      THE WESTERN BANKING CRISIS II: </w:t>
      </w:r>
      <w:r w:rsidR="00A06863">
        <w:rPr>
          <w:rFonts w:ascii="Times New Roman" w:hAnsi="Times New Roman"/>
          <w:b/>
          <w:sz w:val="24"/>
          <w:szCs w:val="24"/>
        </w:rPr>
        <w:t>Remedies</w:t>
      </w:r>
    </w:p>
    <w:p w:rsidR="008126C5" w:rsidRDefault="008126C5" w:rsidP="00A06863">
      <w:pPr>
        <w:spacing w:line="360" w:lineRule="auto"/>
        <w:rPr>
          <w:rFonts w:ascii="Times New Roman" w:hAnsi="Times New Roman"/>
          <w:b/>
          <w:sz w:val="24"/>
          <w:szCs w:val="24"/>
        </w:rPr>
      </w:pPr>
      <w:r>
        <w:rPr>
          <w:rFonts w:ascii="Times New Roman" w:hAnsi="Times New Roman"/>
          <w:b/>
          <w:sz w:val="24"/>
          <w:szCs w:val="24"/>
        </w:rPr>
        <w:t xml:space="preserve">                                                               By</w:t>
      </w:r>
    </w:p>
    <w:p w:rsidR="00A06863" w:rsidRPr="00545B59" w:rsidRDefault="008126C5" w:rsidP="00A06863">
      <w:pPr>
        <w:spacing w:line="360" w:lineRule="auto"/>
        <w:rPr>
          <w:rFonts w:ascii="Times New Roman" w:hAnsi="Times New Roman"/>
          <w:b/>
          <w:sz w:val="24"/>
          <w:szCs w:val="24"/>
        </w:rPr>
      </w:pPr>
      <w:r>
        <w:rPr>
          <w:rFonts w:ascii="Times New Roman" w:hAnsi="Times New Roman"/>
          <w:b/>
          <w:sz w:val="24"/>
          <w:szCs w:val="24"/>
        </w:rPr>
        <w:t xml:space="preserve">                                                       Deepak Lal</w:t>
      </w:r>
      <w:r w:rsidR="00A06863">
        <w:rPr>
          <w:rFonts w:ascii="Times New Roman" w:hAnsi="Times New Roman"/>
          <w:b/>
          <w:sz w:val="24"/>
          <w:szCs w:val="24"/>
        </w:rPr>
        <w:t xml:space="preserve"> </w:t>
      </w:r>
    </w:p>
    <w:p w:rsidR="004D61E2" w:rsidRDefault="004D61E2" w:rsidP="00A06863">
      <w:pPr>
        <w:spacing w:line="360" w:lineRule="auto"/>
        <w:rPr>
          <w:rFonts w:ascii="Times New Roman" w:hAnsi="Times New Roman"/>
          <w:sz w:val="24"/>
          <w:szCs w:val="24"/>
        </w:rPr>
      </w:pPr>
      <w:r>
        <w:rPr>
          <w:rFonts w:ascii="Times New Roman" w:hAnsi="Times New Roman"/>
          <w:sz w:val="24"/>
          <w:szCs w:val="24"/>
        </w:rPr>
        <w:t>M</w:t>
      </w:r>
      <w:r w:rsidR="00EF66DE">
        <w:rPr>
          <w:rFonts w:ascii="Times New Roman" w:hAnsi="Times New Roman"/>
          <w:sz w:val="24"/>
          <w:szCs w:val="24"/>
        </w:rPr>
        <w:t>y last column had outlined a systemic problem in the western banking system</w:t>
      </w:r>
      <w:r>
        <w:rPr>
          <w:rFonts w:ascii="Times New Roman" w:hAnsi="Times New Roman"/>
          <w:sz w:val="24"/>
          <w:szCs w:val="24"/>
        </w:rPr>
        <w:t>.</w:t>
      </w:r>
      <w:r w:rsidR="00EF66DE">
        <w:rPr>
          <w:rFonts w:ascii="Times New Roman" w:hAnsi="Times New Roman"/>
          <w:sz w:val="24"/>
          <w:szCs w:val="24"/>
        </w:rPr>
        <w:t xml:space="preserve"> Banks </w:t>
      </w:r>
      <w:proofErr w:type="gramStart"/>
      <w:r w:rsidR="00EF66DE">
        <w:rPr>
          <w:rFonts w:ascii="Times New Roman" w:hAnsi="Times New Roman"/>
          <w:sz w:val="24"/>
          <w:szCs w:val="24"/>
        </w:rPr>
        <w:t>have  take</w:t>
      </w:r>
      <w:r>
        <w:rPr>
          <w:rFonts w:ascii="Times New Roman" w:hAnsi="Times New Roman"/>
          <w:sz w:val="24"/>
          <w:szCs w:val="24"/>
        </w:rPr>
        <w:t>n</w:t>
      </w:r>
      <w:proofErr w:type="gramEnd"/>
      <w:r>
        <w:rPr>
          <w:rFonts w:ascii="Times New Roman" w:hAnsi="Times New Roman"/>
          <w:sz w:val="24"/>
          <w:szCs w:val="24"/>
        </w:rPr>
        <w:t xml:space="preserve"> </w:t>
      </w:r>
      <w:r w:rsidR="00EF66DE">
        <w:rPr>
          <w:rFonts w:ascii="Times New Roman" w:hAnsi="Times New Roman"/>
          <w:sz w:val="24"/>
          <w:szCs w:val="24"/>
        </w:rPr>
        <w:t>on too much risk, w</w:t>
      </w:r>
      <w:r>
        <w:rPr>
          <w:rFonts w:ascii="Times New Roman" w:hAnsi="Times New Roman"/>
          <w:sz w:val="24"/>
          <w:szCs w:val="24"/>
        </w:rPr>
        <w:t xml:space="preserve">ith the costs </w:t>
      </w:r>
      <w:r w:rsidR="00EF66DE">
        <w:rPr>
          <w:rFonts w:ascii="Times New Roman" w:hAnsi="Times New Roman"/>
          <w:sz w:val="24"/>
          <w:szCs w:val="24"/>
        </w:rPr>
        <w:t xml:space="preserve">socialized through an ever expanding public safety net, </w:t>
      </w:r>
      <w:r>
        <w:rPr>
          <w:rFonts w:ascii="Times New Roman" w:hAnsi="Times New Roman"/>
          <w:sz w:val="24"/>
          <w:szCs w:val="24"/>
        </w:rPr>
        <w:t>whilst t</w:t>
      </w:r>
      <w:r w:rsidR="00EF66DE">
        <w:rPr>
          <w:rFonts w:ascii="Times New Roman" w:hAnsi="Times New Roman"/>
          <w:sz w:val="24"/>
          <w:szCs w:val="24"/>
        </w:rPr>
        <w:t>he returns have accrued to short term traders in the banks’ shares and their managers. What are the remedies</w:t>
      </w:r>
      <w:r>
        <w:rPr>
          <w:rFonts w:ascii="Times New Roman" w:hAnsi="Times New Roman"/>
          <w:sz w:val="24"/>
          <w:szCs w:val="24"/>
        </w:rPr>
        <w:t>?</w:t>
      </w:r>
    </w:p>
    <w:p w:rsidR="0076661B" w:rsidRDefault="004D61E2" w:rsidP="00A06863">
      <w:pPr>
        <w:spacing w:line="360" w:lineRule="auto"/>
        <w:rPr>
          <w:rFonts w:ascii="Times New Roman" w:hAnsi="Times New Roman"/>
          <w:sz w:val="24"/>
          <w:szCs w:val="24"/>
        </w:rPr>
      </w:pPr>
      <w:r>
        <w:rPr>
          <w:rFonts w:ascii="Times New Roman" w:hAnsi="Times New Roman"/>
          <w:sz w:val="24"/>
          <w:szCs w:val="24"/>
        </w:rPr>
        <w:t xml:space="preserve">We begin by </w:t>
      </w:r>
      <w:r w:rsidR="00EF66DE">
        <w:rPr>
          <w:rFonts w:ascii="Times New Roman" w:hAnsi="Times New Roman"/>
          <w:sz w:val="24"/>
          <w:szCs w:val="24"/>
        </w:rPr>
        <w:t>recogni</w:t>
      </w:r>
      <w:r>
        <w:rPr>
          <w:rFonts w:ascii="Times New Roman" w:hAnsi="Times New Roman"/>
          <w:sz w:val="24"/>
          <w:szCs w:val="24"/>
        </w:rPr>
        <w:t>zing</w:t>
      </w:r>
      <w:r w:rsidR="00EF66DE">
        <w:rPr>
          <w:rFonts w:ascii="Times New Roman" w:hAnsi="Times New Roman"/>
          <w:sz w:val="24"/>
          <w:szCs w:val="24"/>
        </w:rPr>
        <w:t xml:space="preserve"> that</w:t>
      </w:r>
      <w:r>
        <w:rPr>
          <w:rFonts w:ascii="Times New Roman" w:hAnsi="Times New Roman"/>
          <w:sz w:val="24"/>
          <w:szCs w:val="24"/>
        </w:rPr>
        <w:t xml:space="preserve"> </w:t>
      </w:r>
      <w:r w:rsidR="00EF66DE">
        <w:rPr>
          <w:rFonts w:ascii="Times New Roman" w:hAnsi="Times New Roman"/>
          <w:sz w:val="24"/>
          <w:szCs w:val="24"/>
        </w:rPr>
        <w:t>in Western democracies</w:t>
      </w:r>
      <w:r w:rsidR="007F7539">
        <w:rPr>
          <w:rFonts w:ascii="Times New Roman" w:hAnsi="Times New Roman"/>
          <w:sz w:val="24"/>
          <w:szCs w:val="24"/>
        </w:rPr>
        <w:t>,</w:t>
      </w:r>
      <w:r w:rsidR="00EF66DE">
        <w:rPr>
          <w:rFonts w:ascii="Times New Roman" w:hAnsi="Times New Roman"/>
          <w:sz w:val="24"/>
          <w:szCs w:val="24"/>
        </w:rPr>
        <w:t xml:space="preserve"> insurance of deposits at commercial banks can no longer be rescinded</w:t>
      </w:r>
      <w:r>
        <w:rPr>
          <w:rFonts w:ascii="Times New Roman" w:hAnsi="Times New Roman"/>
          <w:sz w:val="24"/>
          <w:szCs w:val="24"/>
        </w:rPr>
        <w:t xml:space="preserve">. </w:t>
      </w:r>
      <w:r w:rsidR="00EF66DE">
        <w:rPr>
          <w:rFonts w:ascii="Times New Roman" w:hAnsi="Times New Roman"/>
          <w:sz w:val="24"/>
          <w:szCs w:val="24"/>
        </w:rPr>
        <w:t xml:space="preserve">This means that </w:t>
      </w:r>
      <w:r w:rsidR="007F7539">
        <w:rPr>
          <w:rFonts w:ascii="Times New Roman" w:hAnsi="Times New Roman"/>
          <w:sz w:val="24"/>
          <w:szCs w:val="24"/>
        </w:rPr>
        <w:t>some means must be found to prevent the banks from gambling with their publicly insured deposit base. The Glass-</w:t>
      </w:r>
      <w:proofErr w:type="spellStart"/>
      <w:r w:rsidR="007F7539">
        <w:rPr>
          <w:rFonts w:ascii="Times New Roman" w:hAnsi="Times New Roman"/>
          <w:sz w:val="24"/>
          <w:szCs w:val="24"/>
        </w:rPr>
        <w:t>Steagall</w:t>
      </w:r>
      <w:proofErr w:type="spellEnd"/>
      <w:r w:rsidR="007F7539">
        <w:rPr>
          <w:rFonts w:ascii="Times New Roman" w:hAnsi="Times New Roman"/>
          <w:sz w:val="24"/>
          <w:szCs w:val="24"/>
        </w:rPr>
        <w:t xml:space="preserve"> Act</w:t>
      </w:r>
      <w:r>
        <w:rPr>
          <w:rFonts w:ascii="Times New Roman" w:hAnsi="Times New Roman"/>
          <w:sz w:val="24"/>
          <w:szCs w:val="24"/>
        </w:rPr>
        <w:t>-</w:t>
      </w:r>
      <w:r w:rsidR="007F7539">
        <w:rPr>
          <w:rFonts w:ascii="Times New Roman" w:hAnsi="Times New Roman"/>
          <w:sz w:val="24"/>
          <w:szCs w:val="24"/>
        </w:rPr>
        <w:t xml:space="preserve"> introduced at the same time </w:t>
      </w:r>
      <w:r>
        <w:rPr>
          <w:rFonts w:ascii="Times New Roman" w:hAnsi="Times New Roman"/>
          <w:sz w:val="24"/>
          <w:szCs w:val="24"/>
        </w:rPr>
        <w:t xml:space="preserve">as </w:t>
      </w:r>
      <w:r w:rsidR="007F7539">
        <w:rPr>
          <w:rFonts w:ascii="Times New Roman" w:hAnsi="Times New Roman"/>
          <w:sz w:val="24"/>
          <w:szCs w:val="24"/>
        </w:rPr>
        <w:t>deposit insurance in the US during the Great Depression</w:t>
      </w:r>
      <w:r>
        <w:rPr>
          <w:rFonts w:ascii="Times New Roman" w:hAnsi="Times New Roman"/>
          <w:sz w:val="24"/>
          <w:szCs w:val="24"/>
        </w:rPr>
        <w:t>-</w:t>
      </w:r>
      <w:r w:rsidR="007F7539">
        <w:rPr>
          <w:rFonts w:ascii="Times New Roman" w:hAnsi="Times New Roman"/>
          <w:sz w:val="24"/>
          <w:szCs w:val="24"/>
        </w:rPr>
        <w:t xml:space="preserve"> </w:t>
      </w:r>
      <w:r>
        <w:rPr>
          <w:rFonts w:ascii="Times New Roman" w:hAnsi="Times New Roman"/>
          <w:sz w:val="24"/>
          <w:szCs w:val="24"/>
        </w:rPr>
        <w:t>by</w:t>
      </w:r>
      <w:r w:rsidR="007F7539">
        <w:rPr>
          <w:rFonts w:ascii="Times New Roman" w:hAnsi="Times New Roman"/>
          <w:sz w:val="24"/>
          <w:szCs w:val="24"/>
        </w:rPr>
        <w:t xml:space="preserve"> sep</w:t>
      </w:r>
      <w:r>
        <w:rPr>
          <w:rFonts w:ascii="Times New Roman" w:hAnsi="Times New Roman"/>
          <w:sz w:val="24"/>
          <w:szCs w:val="24"/>
        </w:rPr>
        <w:t>a</w:t>
      </w:r>
      <w:r w:rsidR="007F7539">
        <w:rPr>
          <w:rFonts w:ascii="Times New Roman" w:hAnsi="Times New Roman"/>
          <w:sz w:val="24"/>
          <w:szCs w:val="24"/>
        </w:rPr>
        <w:t>rat</w:t>
      </w:r>
      <w:r>
        <w:rPr>
          <w:rFonts w:ascii="Times New Roman" w:hAnsi="Times New Roman"/>
          <w:sz w:val="24"/>
          <w:szCs w:val="24"/>
        </w:rPr>
        <w:t>ing</w:t>
      </w:r>
      <w:r w:rsidR="007F7539">
        <w:rPr>
          <w:rFonts w:ascii="Times New Roman" w:hAnsi="Times New Roman"/>
          <w:sz w:val="24"/>
          <w:szCs w:val="24"/>
        </w:rPr>
        <w:t xml:space="preserve"> commercial from investment banking, performed this function. Alternative</w:t>
      </w:r>
      <w:r>
        <w:rPr>
          <w:rFonts w:ascii="Times New Roman" w:hAnsi="Times New Roman"/>
          <w:sz w:val="24"/>
          <w:szCs w:val="24"/>
        </w:rPr>
        <w:t>s</w:t>
      </w:r>
      <w:r w:rsidR="007F7539">
        <w:rPr>
          <w:rFonts w:ascii="Times New Roman" w:hAnsi="Times New Roman"/>
          <w:sz w:val="24"/>
          <w:szCs w:val="24"/>
        </w:rPr>
        <w:t xml:space="preserve"> such as the complicated Basle Rules cannot </w:t>
      </w:r>
      <w:r w:rsidR="00DF04E3">
        <w:rPr>
          <w:rFonts w:ascii="Times New Roman" w:hAnsi="Times New Roman"/>
          <w:sz w:val="24"/>
          <w:szCs w:val="24"/>
        </w:rPr>
        <w:t xml:space="preserve">do this, being </w:t>
      </w:r>
      <w:r w:rsidR="007F7539">
        <w:rPr>
          <w:rFonts w:ascii="Times New Roman" w:hAnsi="Times New Roman"/>
          <w:sz w:val="24"/>
          <w:szCs w:val="24"/>
        </w:rPr>
        <w:t>easily gamed, as Andy Haldane has argued in his recent paper for the 2012 Jackson Hole conference</w:t>
      </w:r>
      <w:r>
        <w:rPr>
          <w:rFonts w:ascii="Times New Roman" w:hAnsi="Times New Roman"/>
          <w:sz w:val="24"/>
          <w:szCs w:val="24"/>
        </w:rPr>
        <w:t xml:space="preserve"> </w:t>
      </w:r>
      <w:r w:rsidR="0098312C">
        <w:rPr>
          <w:rFonts w:ascii="Times New Roman" w:hAnsi="Times New Roman"/>
          <w:sz w:val="24"/>
          <w:szCs w:val="24"/>
        </w:rPr>
        <w:t>(“The Dog and the Frisbee”, www.bankofengland.co.uk/publications)</w:t>
      </w:r>
      <w:r w:rsidR="007F7539">
        <w:rPr>
          <w:rFonts w:ascii="Times New Roman" w:hAnsi="Times New Roman"/>
          <w:sz w:val="24"/>
          <w:szCs w:val="24"/>
        </w:rPr>
        <w:t xml:space="preserve">. The Basle Rules which allow banks to use internal models to calculate </w:t>
      </w:r>
      <w:r w:rsidR="0076661B">
        <w:rPr>
          <w:rFonts w:ascii="Times New Roman" w:hAnsi="Times New Roman"/>
          <w:sz w:val="24"/>
          <w:szCs w:val="24"/>
        </w:rPr>
        <w:t>regulatory capital against market risk, apart from allowing banks to ‘</w:t>
      </w:r>
      <w:proofErr w:type="spellStart"/>
      <w:r w:rsidR="0076661B">
        <w:rPr>
          <w:rFonts w:ascii="Times New Roman" w:hAnsi="Times New Roman"/>
          <w:sz w:val="24"/>
          <w:szCs w:val="24"/>
        </w:rPr>
        <w:t>self calibrate</w:t>
      </w:r>
      <w:proofErr w:type="spellEnd"/>
      <w:r w:rsidR="0076661B">
        <w:rPr>
          <w:rFonts w:ascii="Times New Roman" w:hAnsi="Times New Roman"/>
          <w:sz w:val="24"/>
          <w:szCs w:val="24"/>
        </w:rPr>
        <w:t>’ risks, also increased the complexity and opacity of the regulatory system, with millions of calculations required to determine the parameters of dubious risk models from limited data.</w:t>
      </w:r>
    </w:p>
    <w:p w:rsidR="0076661B" w:rsidRDefault="0076661B" w:rsidP="0076661B">
      <w:pPr>
        <w:spacing w:line="360" w:lineRule="auto"/>
        <w:rPr>
          <w:rFonts w:ascii="Times New Roman" w:hAnsi="Times New Roman"/>
          <w:sz w:val="24"/>
          <w:szCs w:val="24"/>
        </w:rPr>
      </w:pPr>
      <w:r>
        <w:rPr>
          <w:rFonts w:ascii="Times New Roman" w:hAnsi="Times New Roman"/>
          <w:sz w:val="24"/>
          <w:szCs w:val="24"/>
        </w:rPr>
        <w:t>Haldane’s major conclusion is that, simple rules are better than complex ones when the environment is complex and uncertain (rather than risky). So instead of the regulatory route that Bas</w:t>
      </w:r>
      <w:r w:rsidR="0098312C">
        <w:rPr>
          <w:rFonts w:ascii="Times New Roman" w:hAnsi="Times New Roman"/>
          <w:sz w:val="24"/>
          <w:szCs w:val="24"/>
        </w:rPr>
        <w:t>l</w:t>
      </w:r>
      <w:r>
        <w:rPr>
          <w:rFonts w:ascii="Times New Roman" w:hAnsi="Times New Roman"/>
          <w:sz w:val="24"/>
          <w:szCs w:val="24"/>
        </w:rPr>
        <w:t xml:space="preserve">e has followed, simple regulatory commandments like </w:t>
      </w:r>
      <w:proofErr w:type="gramStart"/>
      <w:r>
        <w:rPr>
          <w:rFonts w:ascii="Times New Roman" w:hAnsi="Times New Roman"/>
          <w:sz w:val="24"/>
          <w:szCs w:val="24"/>
        </w:rPr>
        <w:t>“ ‘thou</w:t>
      </w:r>
      <w:proofErr w:type="gramEnd"/>
      <w:r>
        <w:rPr>
          <w:rFonts w:ascii="Times New Roman" w:hAnsi="Times New Roman"/>
          <w:sz w:val="24"/>
          <w:szCs w:val="24"/>
        </w:rPr>
        <w:t xml:space="preserve"> shalt not’… are likely to be less fallible than: ‘thou shalt provided the internal model is correct’. This is why Glass –</w:t>
      </w:r>
      <w:proofErr w:type="spellStart"/>
      <w:r>
        <w:rPr>
          <w:rFonts w:ascii="Times New Roman" w:hAnsi="Times New Roman"/>
          <w:sz w:val="24"/>
          <w:szCs w:val="24"/>
        </w:rPr>
        <w:t>Steagall</w:t>
      </w:r>
      <w:proofErr w:type="spellEnd"/>
      <w:r>
        <w:rPr>
          <w:rFonts w:ascii="Times New Roman" w:hAnsi="Times New Roman"/>
          <w:sz w:val="24"/>
          <w:szCs w:val="24"/>
        </w:rPr>
        <w:t xml:space="preserve"> lasted for 60 years longer than Basel II” (p.23)           </w:t>
      </w:r>
    </w:p>
    <w:p w:rsidR="002B2034" w:rsidRDefault="0076661B" w:rsidP="0076661B">
      <w:pPr>
        <w:spacing w:line="360" w:lineRule="auto"/>
        <w:rPr>
          <w:rFonts w:ascii="Times New Roman" w:hAnsi="Times New Roman"/>
          <w:sz w:val="24"/>
          <w:szCs w:val="24"/>
        </w:rPr>
      </w:pPr>
      <w:r>
        <w:rPr>
          <w:rFonts w:ascii="Times New Roman" w:hAnsi="Times New Roman"/>
          <w:sz w:val="24"/>
          <w:szCs w:val="24"/>
        </w:rPr>
        <w:t xml:space="preserve">But, even the simple “thou shalt not” rules are likely to be sabotaged by the complexity which political lobbying by banks </w:t>
      </w:r>
      <w:r w:rsidR="000C092B">
        <w:rPr>
          <w:rFonts w:ascii="Times New Roman" w:hAnsi="Times New Roman"/>
          <w:sz w:val="24"/>
          <w:szCs w:val="24"/>
        </w:rPr>
        <w:t>will seek, as in</w:t>
      </w:r>
      <w:r>
        <w:rPr>
          <w:rFonts w:ascii="Times New Roman" w:hAnsi="Times New Roman"/>
          <w:sz w:val="24"/>
          <w:szCs w:val="24"/>
        </w:rPr>
        <w:t xml:space="preserve"> the enactment of the Volcker </w:t>
      </w:r>
      <w:proofErr w:type="gramStart"/>
      <w:r>
        <w:rPr>
          <w:rFonts w:ascii="Times New Roman" w:hAnsi="Times New Roman"/>
          <w:sz w:val="24"/>
          <w:szCs w:val="24"/>
        </w:rPr>
        <w:t>Rule :</w:t>
      </w:r>
      <w:proofErr w:type="gramEnd"/>
      <w:r>
        <w:rPr>
          <w:rFonts w:ascii="Times New Roman" w:hAnsi="Times New Roman"/>
          <w:sz w:val="24"/>
          <w:szCs w:val="24"/>
        </w:rPr>
        <w:t xml:space="preserve"> “Thou shalt not engage in proprietary trading”. The consultation document accompanying the rule “runs to 289 pages”. Contrast this with the 37 pages of the Glass-</w:t>
      </w:r>
      <w:proofErr w:type="spellStart"/>
      <w:r>
        <w:rPr>
          <w:rFonts w:ascii="Times New Roman" w:hAnsi="Times New Roman"/>
          <w:sz w:val="24"/>
          <w:szCs w:val="24"/>
        </w:rPr>
        <w:t>Steagall</w:t>
      </w:r>
      <w:proofErr w:type="spellEnd"/>
      <w:r>
        <w:rPr>
          <w:rFonts w:ascii="Times New Roman" w:hAnsi="Times New Roman"/>
          <w:sz w:val="24"/>
          <w:szCs w:val="24"/>
        </w:rPr>
        <w:t xml:space="preserve"> bill. The same fate is set to </w:t>
      </w:r>
      <w:proofErr w:type="gramStart"/>
      <w:r>
        <w:rPr>
          <w:rFonts w:ascii="Times New Roman" w:hAnsi="Times New Roman"/>
          <w:sz w:val="24"/>
          <w:szCs w:val="24"/>
        </w:rPr>
        <w:t>befall  the</w:t>
      </w:r>
      <w:proofErr w:type="gramEnd"/>
      <w:r>
        <w:rPr>
          <w:rFonts w:ascii="Times New Roman" w:hAnsi="Times New Roman"/>
          <w:sz w:val="24"/>
          <w:szCs w:val="24"/>
        </w:rPr>
        <w:t xml:space="preserve"> UK ‘s Vickers rule, which seeks to enforce  the commandment: “Thou shalt not co-mingle </w:t>
      </w:r>
      <w:r>
        <w:rPr>
          <w:rFonts w:ascii="Times New Roman" w:hAnsi="Times New Roman"/>
          <w:sz w:val="24"/>
          <w:szCs w:val="24"/>
        </w:rPr>
        <w:lastRenderedPageBreak/>
        <w:t xml:space="preserve">retail deposit-taking and investment banking”. </w:t>
      </w:r>
      <w:r w:rsidR="002B2034">
        <w:rPr>
          <w:rFonts w:ascii="Times New Roman" w:hAnsi="Times New Roman"/>
          <w:sz w:val="24"/>
          <w:szCs w:val="24"/>
        </w:rPr>
        <w:t>The simplest route would be to reenact the Glass-</w:t>
      </w:r>
      <w:proofErr w:type="spellStart"/>
      <w:r w:rsidR="002B2034">
        <w:rPr>
          <w:rFonts w:ascii="Times New Roman" w:hAnsi="Times New Roman"/>
          <w:sz w:val="24"/>
          <w:szCs w:val="24"/>
        </w:rPr>
        <w:t>Steagall</w:t>
      </w:r>
      <w:proofErr w:type="spellEnd"/>
      <w:r w:rsidR="002B2034">
        <w:rPr>
          <w:rFonts w:ascii="Times New Roman" w:hAnsi="Times New Roman"/>
          <w:sz w:val="24"/>
          <w:szCs w:val="24"/>
        </w:rPr>
        <w:t xml:space="preserve"> bill in the US, and hope other Western banking regime</w:t>
      </w:r>
      <w:r w:rsidR="000C092B">
        <w:rPr>
          <w:rFonts w:ascii="Times New Roman" w:hAnsi="Times New Roman"/>
          <w:sz w:val="24"/>
          <w:szCs w:val="24"/>
        </w:rPr>
        <w:t>s</w:t>
      </w:r>
      <w:r w:rsidR="002B2034">
        <w:rPr>
          <w:rFonts w:ascii="Times New Roman" w:hAnsi="Times New Roman"/>
          <w:sz w:val="24"/>
          <w:szCs w:val="24"/>
        </w:rPr>
        <w:t xml:space="preserve"> follow suit.</w:t>
      </w:r>
    </w:p>
    <w:p w:rsidR="008B0C4E" w:rsidRDefault="002B2034" w:rsidP="0076661B">
      <w:pPr>
        <w:spacing w:line="360" w:lineRule="auto"/>
        <w:rPr>
          <w:rFonts w:ascii="Times New Roman" w:hAnsi="Times New Roman"/>
          <w:sz w:val="24"/>
          <w:szCs w:val="24"/>
        </w:rPr>
      </w:pPr>
      <w:r>
        <w:rPr>
          <w:rFonts w:ascii="Times New Roman" w:hAnsi="Times New Roman"/>
          <w:sz w:val="24"/>
          <w:szCs w:val="24"/>
        </w:rPr>
        <w:t xml:space="preserve">As Tim </w:t>
      </w:r>
      <w:proofErr w:type="spellStart"/>
      <w:r>
        <w:rPr>
          <w:rFonts w:ascii="Times New Roman" w:hAnsi="Times New Roman"/>
          <w:sz w:val="24"/>
          <w:szCs w:val="24"/>
        </w:rPr>
        <w:t>Congdon</w:t>
      </w:r>
      <w:proofErr w:type="spellEnd"/>
      <w:r>
        <w:rPr>
          <w:rFonts w:ascii="Times New Roman" w:hAnsi="Times New Roman"/>
          <w:sz w:val="24"/>
          <w:szCs w:val="24"/>
        </w:rPr>
        <w:t xml:space="preserve"> </w:t>
      </w:r>
      <w:r w:rsidR="0098312C">
        <w:rPr>
          <w:rFonts w:ascii="Times New Roman" w:hAnsi="Times New Roman"/>
          <w:sz w:val="24"/>
          <w:szCs w:val="24"/>
        </w:rPr>
        <w:t xml:space="preserve">has </w:t>
      </w:r>
      <w:r>
        <w:rPr>
          <w:rFonts w:ascii="Times New Roman" w:hAnsi="Times New Roman"/>
          <w:sz w:val="24"/>
          <w:szCs w:val="24"/>
        </w:rPr>
        <w:t>argued</w:t>
      </w:r>
      <w:r w:rsidR="0098312C">
        <w:rPr>
          <w:rFonts w:ascii="Times New Roman" w:hAnsi="Times New Roman"/>
          <w:sz w:val="24"/>
          <w:szCs w:val="24"/>
        </w:rPr>
        <w:t>,</w:t>
      </w:r>
      <w:r>
        <w:rPr>
          <w:rFonts w:ascii="Times New Roman" w:hAnsi="Times New Roman"/>
          <w:sz w:val="24"/>
          <w:szCs w:val="24"/>
        </w:rPr>
        <w:t xml:space="preserve"> though there may</w:t>
      </w:r>
      <w:r w:rsidR="00286F7C">
        <w:rPr>
          <w:rFonts w:ascii="Times New Roman" w:hAnsi="Times New Roman"/>
          <w:sz w:val="24"/>
          <w:szCs w:val="24"/>
        </w:rPr>
        <w:t xml:space="preserve"> </w:t>
      </w:r>
      <w:r>
        <w:rPr>
          <w:rFonts w:ascii="Times New Roman" w:hAnsi="Times New Roman"/>
          <w:sz w:val="24"/>
          <w:szCs w:val="24"/>
        </w:rPr>
        <w:t>be a case for universal banks</w:t>
      </w:r>
      <w:r w:rsidR="00286F7C">
        <w:rPr>
          <w:rFonts w:ascii="Times New Roman" w:hAnsi="Times New Roman"/>
          <w:sz w:val="24"/>
          <w:szCs w:val="24"/>
        </w:rPr>
        <w:t xml:space="preserve"> (</w:t>
      </w:r>
      <w:r>
        <w:rPr>
          <w:rFonts w:ascii="Times New Roman" w:hAnsi="Times New Roman"/>
          <w:sz w:val="24"/>
          <w:szCs w:val="24"/>
        </w:rPr>
        <w:t xml:space="preserve">which combine </w:t>
      </w:r>
      <w:r w:rsidR="00286F7C">
        <w:rPr>
          <w:rFonts w:ascii="Times New Roman" w:hAnsi="Times New Roman"/>
          <w:sz w:val="24"/>
          <w:szCs w:val="24"/>
        </w:rPr>
        <w:t xml:space="preserve">the deposit taking of commercial banks, the diversifying of risk </w:t>
      </w:r>
      <w:r w:rsidR="0098312C">
        <w:rPr>
          <w:rFonts w:ascii="Times New Roman" w:hAnsi="Times New Roman"/>
          <w:sz w:val="24"/>
          <w:szCs w:val="24"/>
        </w:rPr>
        <w:t>by</w:t>
      </w:r>
      <w:r w:rsidR="00286F7C">
        <w:rPr>
          <w:rFonts w:ascii="Times New Roman" w:hAnsi="Times New Roman"/>
          <w:sz w:val="24"/>
          <w:szCs w:val="24"/>
        </w:rPr>
        <w:t xml:space="preserve"> insurance companies, and the underwriting of securities by investment banks) based on the benefits of “diversification and organizational synergy”, the conflicts of interest </w:t>
      </w:r>
      <w:r w:rsidR="0098312C">
        <w:rPr>
          <w:rFonts w:ascii="Times New Roman" w:hAnsi="Times New Roman"/>
          <w:sz w:val="24"/>
          <w:szCs w:val="24"/>
        </w:rPr>
        <w:t xml:space="preserve">between these functions </w:t>
      </w:r>
      <w:r w:rsidR="00286F7C">
        <w:rPr>
          <w:rFonts w:ascii="Times New Roman" w:hAnsi="Times New Roman"/>
          <w:sz w:val="24"/>
          <w:szCs w:val="24"/>
        </w:rPr>
        <w:t>will lead not to social benefits</w:t>
      </w:r>
      <w:r w:rsidR="008B0C4E">
        <w:rPr>
          <w:rFonts w:ascii="Times New Roman" w:hAnsi="Times New Roman"/>
          <w:sz w:val="24"/>
          <w:szCs w:val="24"/>
        </w:rPr>
        <w:t>,</w:t>
      </w:r>
      <w:r w:rsidR="00286F7C">
        <w:rPr>
          <w:rFonts w:ascii="Times New Roman" w:hAnsi="Times New Roman"/>
          <w:sz w:val="24"/>
          <w:szCs w:val="24"/>
        </w:rPr>
        <w:t xml:space="preserve"> but to the</w:t>
      </w:r>
      <w:r w:rsidR="000C092B">
        <w:rPr>
          <w:rFonts w:ascii="Times New Roman" w:hAnsi="Times New Roman"/>
          <w:sz w:val="24"/>
          <w:szCs w:val="24"/>
        </w:rPr>
        <w:t xml:space="preserve"> benefits being </w:t>
      </w:r>
      <w:r w:rsidR="00286F7C">
        <w:rPr>
          <w:rFonts w:ascii="Times New Roman" w:hAnsi="Times New Roman"/>
          <w:sz w:val="24"/>
          <w:szCs w:val="24"/>
        </w:rPr>
        <w:t>loo</w:t>
      </w:r>
      <w:r w:rsidR="00C55874">
        <w:rPr>
          <w:rFonts w:ascii="Times New Roman" w:hAnsi="Times New Roman"/>
          <w:sz w:val="24"/>
          <w:szCs w:val="24"/>
        </w:rPr>
        <w:t>t</w:t>
      </w:r>
      <w:r w:rsidR="000C092B">
        <w:rPr>
          <w:rFonts w:ascii="Times New Roman" w:hAnsi="Times New Roman"/>
          <w:sz w:val="24"/>
          <w:szCs w:val="24"/>
        </w:rPr>
        <w:t>ed</w:t>
      </w:r>
      <w:r w:rsidR="00286F7C">
        <w:rPr>
          <w:rFonts w:ascii="Times New Roman" w:hAnsi="Times New Roman"/>
          <w:sz w:val="24"/>
          <w:szCs w:val="24"/>
        </w:rPr>
        <w:t xml:space="preserve"> </w:t>
      </w:r>
      <w:r w:rsidR="008B0C4E">
        <w:rPr>
          <w:rFonts w:ascii="Times New Roman" w:hAnsi="Times New Roman"/>
          <w:sz w:val="24"/>
          <w:szCs w:val="24"/>
        </w:rPr>
        <w:t>by managers and short term traders. (“The trouble with investment banks”</w:t>
      </w:r>
      <w:proofErr w:type="gramStart"/>
      <w:r w:rsidR="008B0C4E">
        <w:rPr>
          <w:rFonts w:ascii="Times New Roman" w:hAnsi="Times New Roman"/>
          <w:sz w:val="24"/>
          <w:szCs w:val="24"/>
        </w:rPr>
        <w:t>,</w:t>
      </w:r>
      <w:r w:rsidR="00C55874">
        <w:rPr>
          <w:rFonts w:ascii="Times New Roman" w:hAnsi="Times New Roman"/>
          <w:sz w:val="24"/>
          <w:szCs w:val="24"/>
        </w:rPr>
        <w:t xml:space="preserve"> </w:t>
      </w:r>
      <w:r w:rsidR="0098312C">
        <w:rPr>
          <w:rFonts w:ascii="Times New Roman" w:hAnsi="Times New Roman"/>
          <w:sz w:val="24"/>
          <w:szCs w:val="24"/>
        </w:rPr>
        <w:t xml:space="preserve"> </w:t>
      </w:r>
      <w:r w:rsidR="008B0C4E">
        <w:rPr>
          <w:rFonts w:ascii="Times New Roman" w:hAnsi="Times New Roman"/>
          <w:i/>
          <w:sz w:val="24"/>
          <w:szCs w:val="24"/>
        </w:rPr>
        <w:t>The</w:t>
      </w:r>
      <w:proofErr w:type="gramEnd"/>
      <w:r w:rsidR="008B0C4E">
        <w:rPr>
          <w:rFonts w:ascii="Times New Roman" w:hAnsi="Times New Roman"/>
          <w:i/>
          <w:sz w:val="24"/>
          <w:szCs w:val="24"/>
        </w:rPr>
        <w:t xml:space="preserve"> Financial Regulator</w:t>
      </w:r>
      <w:r w:rsidR="008B0C4E">
        <w:rPr>
          <w:rFonts w:ascii="Times New Roman" w:hAnsi="Times New Roman"/>
          <w:sz w:val="24"/>
          <w:szCs w:val="24"/>
        </w:rPr>
        <w:t>, June 2003).</w:t>
      </w:r>
    </w:p>
    <w:p w:rsidR="003E167E" w:rsidRDefault="008B0C4E" w:rsidP="003E167E">
      <w:pPr>
        <w:spacing w:line="360" w:lineRule="auto"/>
        <w:rPr>
          <w:rFonts w:ascii="Times New Roman" w:hAnsi="Times New Roman"/>
          <w:sz w:val="24"/>
          <w:szCs w:val="24"/>
        </w:rPr>
      </w:pPr>
      <w:r>
        <w:rPr>
          <w:rFonts w:ascii="Times New Roman" w:hAnsi="Times New Roman"/>
          <w:sz w:val="24"/>
          <w:szCs w:val="24"/>
        </w:rPr>
        <w:t xml:space="preserve">The </w:t>
      </w:r>
      <w:bookmarkStart w:id="0" w:name="_GoBack"/>
      <w:bookmarkEnd w:id="0"/>
      <w:r>
        <w:rPr>
          <w:rFonts w:ascii="Times New Roman" w:hAnsi="Times New Roman"/>
          <w:sz w:val="24"/>
          <w:szCs w:val="24"/>
        </w:rPr>
        <w:t>second remedy is to end the policy of “too big to fail” (TB</w:t>
      </w:r>
      <w:r w:rsidR="0098312C">
        <w:rPr>
          <w:rFonts w:ascii="Times New Roman" w:hAnsi="Times New Roman"/>
          <w:sz w:val="24"/>
          <w:szCs w:val="24"/>
        </w:rPr>
        <w:t>T</w:t>
      </w:r>
      <w:r>
        <w:rPr>
          <w:rFonts w:ascii="Times New Roman" w:hAnsi="Times New Roman"/>
          <w:sz w:val="24"/>
          <w:szCs w:val="24"/>
        </w:rPr>
        <w:t xml:space="preserve">F) </w:t>
      </w:r>
      <w:r w:rsidR="0098312C">
        <w:rPr>
          <w:rFonts w:ascii="Times New Roman" w:hAnsi="Times New Roman"/>
          <w:sz w:val="24"/>
          <w:szCs w:val="24"/>
        </w:rPr>
        <w:t>through</w:t>
      </w:r>
      <w:r>
        <w:rPr>
          <w:rFonts w:ascii="Times New Roman" w:hAnsi="Times New Roman"/>
          <w:sz w:val="24"/>
          <w:szCs w:val="24"/>
        </w:rPr>
        <w:t xml:space="preserve"> extending the public safety net. </w:t>
      </w:r>
      <w:r w:rsidR="008A0F9B">
        <w:rPr>
          <w:rFonts w:ascii="Times New Roman" w:hAnsi="Times New Roman"/>
          <w:sz w:val="24"/>
          <w:szCs w:val="24"/>
        </w:rPr>
        <w:t>TB</w:t>
      </w:r>
      <w:r w:rsidR="000C092B">
        <w:rPr>
          <w:rFonts w:ascii="Times New Roman" w:hAnsi="Times New Roman"/>
          <w:sz w:val="24"/>
          <w:szCs w:val="24"/>
        </w:rPr>
        <w:t>T</w:t>
      </w:r>
      <w:r w:rsidR="008A0F9B">
        <w:rPr>
          <w:rFonts w:ascii="Times New Roman" w:hAnsi="Times New Roman"/>
          <w:sz w:val="24"/>
          <w:szCs w:val="24"/>
        </w:rPr>
        <w:t xml:space="preserve">F concerns not the size of financial institutions but their </w:t>
      </w:r>
      <w:r w:rsidR="008A0F9B" w:rsidRPr="00C61846">
        <w:rPr>
          <w:rFonts w:ascii="Times New Roman" w:hAnsi="Times New Roman"/>
          <w:i/>
          <w:sz w:val="24"/>
          <w:szCs w:val="24"/>
        </w:rPr>
        <w:t xml:space="preserve">interconnectedness </w:t>
      </w:r>
      <w:r w:rsidR="008A0F9B">
        <w:rPr>
          <w:rFonts w:ascii="Times New Roman" w:hAnsi="Times New Roman"/>
          <w:sz w:val="24"/>
          <w:szCs w:val="24"/>
        </w:rPr>
        <w:t>with other financial firms</w:t>
      </w:r>
      <w:r w:rsidR="0098312C">
        <w:rPr>
          <w:rFonts w:ascii="Times New Roman" w:hAnsi="Times New Roman"/>
          <w:sz w:val="24"/>
          <w:szCs w:val="24"/>
        </w:rPr>
        <w:t xml:space="preserve">, which </w:t>
      </w:r>
      <w:r w:rsidR="008A0F9B">
        <w:rPr>
          <w:rFonts w:ascii="Times New Roman" w:hAnsi="Times New Roman"/>
          <w:sz w:val="24"/>
          <w:szCs w:val="24"/>
        </w:rPr>
        <w:t>could trigger losses to a large number of counter-parties</w:t>
      </w:r>
      <w:r w:rsidR="0098312C">
        <w:rPr>
          <w:rFonts w:ascii="Times New Roman" w:hAnsi="Times New Roman"/>
          <w:sz w:val="24"/>
          <w:szCs w:val="24"/>
        </w:rPr>
        <w:t xml:space="preserve"> from their demise</w:t>
      </w:r>
      <w:r w:rsidR="008A0F9B">
        <w:rPr>
          <w:rFonts w:ascii="Times New Roman" w:hAnsi="Times New Roman"/>
          <w:sz w:val="24"/>
          <w:szCs w:val="24"/>
        </w:rPr>
        <w:t xml:space="preserve">, who might in turn default, leading to cascading defaults and an implosion of the financial system. </w:t>
      </w:r>
      <w:r w:rsidR="003E167E">
        <w:rPr>
          <w:rFonts w:ascii="Times New Roman" w:hAnsi="Times New Roman"/>
          <w:sz w:val="24"/>
          <w:szCs w:val="24"/>
        </w:rPr>
        <w:t xml:space="preserve">But is this fear realistic? </w:t>
      </w:r>
      <w:r w:rsidR="0098312C">
        <w:rPr>
          <w:rFonts w:ascii="Times New Roman" w:hAnsi="Times New Roman"/>
          <w:sz w:val="24"/>
          <w:szCs w:val="24"/>
        </w:rPr>
        <w:t>T</w:t>
      </w:r>
      <w:r w:rsidR="003E167E">
        <w:rPr>
          <w:rFonts w:ascii="Times New Roman" w:hAnsi="Times New Roman"/>
          <w:sz w:val="24"/>
          <w:szCs w:val="24"/>
        </w:rPr>
        <w:t>he Lehmann bankruptcy provides the answer. Before</w:t>
      </w:r>
      <w:r w:rsidR="0098312C">
        <w:rPr>
          <w:rFonts w:ascii="Times New Roman" w:hAnsi="Times New Roman"/>
          <w:sz w:val="24"/>
          <w:szCs w:val="24"/>
        </w:rPr>
        <w:t xml:space="preserve"> it,</w:t>
      </w:r>
      <w:r w:rsidR="003E167E">
        <w:rPr>
          <w:rFonts w:ascii="Times New Roman" w:hAnsi="Times New Roman"/>
          <w:sz w:val="24"/>
          <w:szCs w:val="24"/>
        </w:rPr>
        <w:t xml:space="preserve"> there was concern that it would be difficult to unwind all the derivatives for which Lehmann was a counter party. But,</w:t>
      </w:r>
      <w:r w:rsidR="0098312C">
        <w:rPr>
          <w:rFonts w:ascii="Times New Roman" w:hAnsi="Times New Roman"/>
          <w:sz w:val="24"/>
          <w:szCs w:val="24"/>
        </w:rPr>
        <w:t xml:space="preserve"> t</w:t>
      </w:r>
      <w:r w:rsidR="003E167E">
        <w:rPr>
          <w:rFonts w:ascii="Times New Roman" w:hAnsi="Times New Roman"/>
          <w:sz w:val="24"/>
          <w:szCs w:val="24"/>
        </w:rPr>
        <w:t>hese concerns proved unfounded. As the New York Times and Financial Times reported, “hundreds of traders who placed bets on Lehman Brothers’ creditworthiness before it went bankrupt have settled their positions ‘without incident’, according to a company which tracks derivatives contracts…The overall system appears to have borne the shock successfully” (</w:t>
      </w:r>
      <w:r w:rsidR="00BE7DDB">
        <w:rPr>
          <w:rFonts w:ascii="Times New Roman" w:hAnsi="Times New Roman"/>
          <w:sz w:val="24"/>
          <w:szCs w:val="24"/>
        </w:rPr>
        <w:t xml:space="preserve">Robert </w:t>
      </w:r>
      <w:proofErr w:type="spellStart"/>
      <w:r w:rsidR="00BE7DDB">
        <w:rPr>
          <w:rFonts w:ascii="Times New Roman" w:hAnsi="Times New Roman"/>
          <w:sz w:val="24"/>
          <w:szCs w:val="24"/>
        </w:rPr>
        <w:t>Hetzel</w:t>
      </w:r>
      <w:proofErr w:type="spellEnd"/>
      <w:r w:rsidR="00BE7DDB">
        <w:rPr>
          <w:rFonts w:ascii="Times New Roman" w:hAnsi="Times New Roman"/>
          <w:sz w:val="24"/>
          <w:szCs w:val="24"/>
        </w:rPr>
        <w:t xml:space="preserve">: </w:t>
      </w:r>
      <w:r w:rsidR="00BE7DDB">
        <w:rPr>
          <w:rFonts w:ascii="Times New Roman" w:hAnsi="Times New Roman"/>
          <w:i/>
          <w:sz w:val="24"/>
          <w:szCs w:val="24"/>
        </w:rPr>
        <w:t>The Great Recession</w:t>
      </w:r>
      <w:r w:rsidR="00BE7DDB">
        <w:rPr>
          <w:rFonts w:ascii="Times New Roman" w:hAnsi="Times New Roman"/>
          <w:sz w:val="24"/>
          <w:szCs w:val="24"/>
        </w:rPr>
        <w:t xml:space="preserve">, Cambridge, 2012, </w:t>
      </w:r>
      <w:r w:rsidR="003E167E" w:rsidRPr="00BE7DDB">
        <w:rPr>
          <w:rFonts w:ascii="Times New Roman" w:hAnsi="Times New Roman"/>
          <w:sz w:val="24"/>
          <w:szCs w:val="24"/>
        </w:rPr>
        <w:t>n</w:t>
      </w:r>
      <w:r w:rsidR="003E167E">
        <w:rPr>
          <w:rFonts w:ascii="Times New Roman" w:hAnsi="Times New Roman"/>
          <w:sz w:val="24"/>
          <w:szCs w:val="24"/>
        </w:rPr>
        <w:t xml:space="preserve">.15, p, 253). </w:t>
      </w:r>
      <w:r w:rsidR="00BE7DDB">
        <w:rPr>
          <w:rFonts w:ascii="Times New Roman" w:hAnsi="Times New Roman"/>
          <w:sz w:val="24"/>
          <w:szCs w:val="24"/>
        </w:rPr>
        <w:t xml:space="preserve">A bankrupt </w:t>
      </w:r>
      <w:r w:rsidR="003E167E">
        <w:rPr>
          <w:rFonts w:ascii="Times New Roman" w:hAnsi="Times New Roman"/>
          <w:sz w:val="24"/>
          <w:szCs w:val="24"/>
        </w:rPr>
        <w:t>Lehman did not bring down the interconnected financial system. Neither would the bankruptc</w:t>
      </w:r>
      <w:r w:rsidR="00BE7DDB">
        <w:rPr>
          <w:rFonts w:ascii="Times New Roman" w:hAnsi="Times New Roman"/>
          <w:sz w:val="24"/>
          <w:szCs w:val="24"/>
        </w:rPr>
        <w:t xml:space="preserve">ies </w:t>
      </w:r>
      <w:r w:rsidR="003E167E">
        <w:rPr>
          <w:rFonts w:ascii="Times New Roman" w:hAnsi="Times New Roman"/>
          <w:sz w:val="24"/>
          <w:szCs w:val="24"/>
        </w:rPr>
        <w:t xml:space="preserve">of LTCM or Bear Sterns (which led to markets </w:t>
      </w:r>
      <w:r w:rsidR="00BE7DDB">
        <w:rPr>
          <w:rFonts w:ascii="Times New Roman" w:hAnsi="Times New Roman"/>
          <w:sz w:val="24"/>
          <w:szCs w:val="24"/>
        </w:rPr>
        <w:t xml:space="preserve">to </w:t>
      </w:r>
      <w:r w:rsidR="000C092B">
        <w:rPr>
          <w:rFonts w:ascii="Times New Roman" w:hAnsi="Times New Roman"/>
          <w:sz w:val="24"/>
          <w:szCs w:val="24"/>
        </w:rPr>
        <w:t xml:space="preserve">expect </w:t>
      </w:r>
      <w:r w:rsidR="00BE7DDB">
        <w:rPr>
          <w:rFonts w:ascii="Times New Roman" w:hAnsi="Times New Roman"/>
          <w:sz w:val="24"/>
          <w:szCs w:val="24"/>
        </w:rPr>
        <w:t xml:space="preserve">TBTF </w:t>
      </w:r>
      <w:r w:rsidR="003E167E">
        <w:rPr>
          <w:rFonts w:ascii="Times New Roman" w:hAnsi="Times New Roman"/>
          <w:sz w:val="24"/>
          <w:szCs w:val="24"/>
        </w:rPr>
        <w:t>bailout</w:t>
      </w:r>
      <w:r w:rsidR="000C092B">
        <w:rPr>
          <w:rFonts w:ascii="Times New Roman" w:hAnsi="Times New Roman"/>
          <w:sz w:val="24"/>
          <w:szCs w:val="24"/>
        </w:rPr>
        <w:t>s</w:t>
      </w:r>
      <w:r w:rsidR="00BE7DDB">
        <w:rPr>
          <w:rFonts w:ascii="Times New Roman" w:hAnsi="Times New Roman"/>
          <w:sz w:val="24"/>
          <w:szCs w:val="24"/>
        </w:rPr>
        <w:t>)</w:t>
      </w:r>
      <w:r w:rsidR="003E167E">
        <w:rPr>
          <w:rFonts w:ascii="Times New Roman" w:hAnsi="Times New Roman"/>
          <w:sz w:val="24"/>
          <w:szCs w:val="24"/>
        </w:rPr>
        <w:t xml:space="preserve"> have led to this outcome. </w:t>
      </w:r>
    </w:p>
    <w:p w:rsidR="003E167E" w:rsidRDefault="003E167E" w:rsidP="003E167E">
      <w:pPr>
        <w:spacing w:line="360" w:lineRule="auto"/>
        <w:rPr>
          <w:rFonts w:ascii="Times New Roman" w:hAnsi="Times New Roman"/>
          <w:sz w:val="24"/>
          <w:szCs w:val="24"/>
        </w:rPr>
      </w:pPr>
      <w:r>
        <w:rPr>
          <w:rFonts w:ascii="Times New Roman" w:hAnsi="Times New Roman"/>
          <w:sz w:val="24"/>
          <w:szCs w:val="24"/>
        </w:rPr>
        <w:t xml:space="preserve">Nor was there any justification for bailing out AIG after </w:t>
      </w:r>
      <w:r w:rsidR="00BE7DDB">
        <w:rPr>
          <w:rFonts w:ascii="Times New Roman" w:hAnsi="Times New Roman"/>
          <w:sz w:val="24"/>
          <w:szCs w:val="24"/>
        </w:rPr>
        <w:t xml:space="preserve">the </w:t>
      </w:r>
      <w:r>
        <w:rPr>
          <w:rFonts w:ascii="Times New Roman" w:hAnsi="Times New Roman"/>
          <w:sz w:val="24"/>
          <w:szCs w:val="24"/>
        </w:rPr>
        <w:t>Lehman collapse. AIG</w:t>
      </w:r>
      <w:r w:rsidR="00BE7DDB">
        <w:rPr>
          <w:rFonts w:ascii="Times New Roman" w:hAnsi="Times New Roman"/>
          <w:sz w:val="24"/>
          <w:szCs w:val="24"/>
        </w:rPr>
        <w:t>’s</w:t>
      </w:r>
      <w:r>
        <w:rPr>
          <w:rFonts w:ascii="Times New Roman" w:hAnsi="Times New Roman"/>
          <w:i/>
          <w:sz w:val="24"/>
          <w:szCs w:val="24"/>
        </w:rPr>
        <w:t xml:space="preserve"> </w:t>
      </w:r>
      <w:r>
        <w:rPr>
          <w:rFonts w:ascii="Times New Roman" w:hAnsi="Times New Roman"/>
          <w:sz w:val="24"/>
          <w:szCs w:val="24"/>
        </w:rPr>
        <w:t xml:space="preserve">insurance policies </w:t>
      </w:r>
      <w:r w:rsidR="00BE7DDB">
        <w:rPr>
          <w:rFonts w:ascii="Times New Roman" w:hAnsi="Times New Roman"/>
          <w:sz w:val="24"/>
          <w:szCs w:val="24"/>
        </w:rPr>
        <w:t>were</w:t>
      </w:r>
      <w:r>
        <w:rPr>
          <w:rFonts w:ascii="Times New Roman" w:hAnsi="Times New Roman"/>
          <w:sz w:val="24"/>
          <w:szCs w:val="24"/>
        </w:rPr>
        <w:t xml:space="preserve"> regulated. </w:t>
      </w:r>
      <w:r w:rsidR="00BE7DDB">
        <w:rPr>
          <w:rFonts w:ascii="Times New Roman" w:hAnsi="Times New Roman"/>
          <w:sz w:val="24"/>
          <w:szCs w:val="24"/>
        </w:rPr>
        <w:t>An</w:t>
      </w:r>
      <w:r>
        <w:rPr>
          <w:rFonts w:ascii="Times New Roman" w:hAnsi="Times New Roman"/>
          <w:sz w:val="24"/>
          <w:szCs w:val="24"/>
        </w:rPr>
        <w:t xml:space="preserve"> AIG bankruptcy would still have </w:t>
      </w:r>
      <w:r w:rsidR="00BE7DDB">
        <w:rPr>
          <w:rFonts w:ascii="Times New Roman" w:hAnsi="Times New Roman"/>
          <w:sz w:val="24"/>
          <w:szCs w:val="24"/>
        </w:rPr>
        <w:t xml:space="preserve">protected </w:t>
      </w:r>
      <w:r>
        <w:rPr>
          <w:rFonts w:ascii="Times New Roman" w:hAnsi="Times New Roman"/>
          <w:sz w:val="24"/>
          <w:szCs w:val="24"/>
        </w:rPr>
        <w:t>its policyholders, as the</w:t>
      </w:r>
      <w:r w:rsidR="003E5E56">
        <w:rPr>
          <w:rFonts w:ascii="Times New Roman" w:hAnsi="Times New Roman"/>
          <w:sz w:val="24"/>
          <w:szCs w:val="24"/>
        </w:rPr>
        <w:t>ir</w:t>
      </w:r>
      <w:r>
        <w:rPr>
          <w:rFonts w:ascii="Times New Roman" w:hAnsi="Times New Roman"/>
          <w:sz w:val="24"/>
          <w:szCs w:val="24"/>
        </w:rPr>
        <w:t xml:space="preserve"> policies were written by its separate subsidiaries</w:t>
      </w:r>
      <w:r w:rsidR="00BE7DDB">
        <w:rPr>
          <w:rFonts w:ascii="Times New Roman" w:hAnsi="Times New Roman"/>
          <w:sz w:val="24"/>
          <w:szCs w:val="24"/>
        </w:rPr>
        <w:t xml:space="preserve">, </w:t>
      </w:r>
      <w:r>
        <w:rPr>
          <w:rFonts w:ascii="Times New Roman" w:hAnsi="Times New Roman"/>
          <w:sz w:val="24"/>
          <w:szCs w:val="24"/>
        </w:rPr>
        <w:t>with assets to pay claims. Testifying before the House Financial Services Committee, the New York Superintendent of insurance, said “‘There would have been solvency’ in AIG’s insurance companies ‘with or without the Federal Reserve’s intervention’” (</w:t>
      </w:r>
      <w:proofErr w:type="spellStart"/>
      <w:r>
        <w:rPr>
          <w:rFonts w:ascii="Times New Roman" w:hAnsi="Times New Roman"/>
          <w:sz w:val="24"/>
          <w:szCs w:val="24"/>
        </w:rPr>
        <w:t>Hetzel</w:t>
      </w:r>
      <w:proofErr w:type="spellEnd"/>
      <w:r>
        <w:rPr>
          <w:rFonts w:ascii="Times New Roman" w:hAnsi="Times New Roman"/>
          <w:sz w:val="24"/>
          <w:szCs w:val="24"/>
        </w:rPr>
        <w:t>, p.272). It was the risky bets made by AIG Financial Products (AIGFP) in London which were its undoing. AIGFP should have been put into bankruptcy</w:t>
      </w:r>
      <w:r w:rsidR="003E5E56">
        <w:rPr>
          <w:rFonts w:ascii="Times New Roman" w:hAnsi="Times New Roman"/>
          <w:sz w:val="24"/>
          <w:szCs w:val="24"/>
        </w:rPr>
        <w:t>,</w:t>
      </w:r>
      <w:r>
        <w:rPr>
          <w:rFonts w:ascii="Times New Roman" w:hAnsi="Times New Roman"/>
          <w:sz w:val="24"/>
          <w:szCs w:val="24"/>
        </w:rPr>
        <w:t xml:space="preserve"> as it was clearly insolvent</w:t>
      </w:r>
      <w:r w:rsidR="003E5E56">
        <w:rPr>
          <w:rFonts w:ascii="Times New Roman" w:hAnsi="Times New Roman"/>
          <w:sz w:val="24"/>
          <w:szCs w:val="24"/>
        </w:rPr>
        <w:t>,</w:t>
      </w:r>
      <w:r>
        <w:rPr>
          <w:rFonts w:ascii="Times New Roman" w:hAnsi="Times New Roman"/>
          <w:sz w:val="24"/>
          <w:szCs w:val="24"/>
        </w:rPr>
        <w:t xml:space="preserve"> and should have been shut down on Bag</w:t>
      </w:r>
      <w:r w:rsidR="000C092B">
        <w:rPr>
          <w:rFonts w:ascii="Times New Roman" w:hAnsi="Times New Roman"/>
          <w:sz w:val="24"/>
          <w:szCs w:val="24"/>
        </w:rPr>
        <w:t>e</w:t>
      </w:r>
      <w:r>
        <w:rPr>
          <w:rFonts w:ascii="Times New Roman" w:hAnsi="Times New Roman"/>
          <w:sz w:val="24"/>
          <w:szCs w:val="24"/>
        </w:rPr>
        <w:t>hot</w:t>
      </w:r>
      <w:r w:rsidR="003E5E56">
        <w:rPr>
          <w:rFonts w:ascii="Times New Roman" w:hAnsi="Times New Roman"/>
          <w:sz w:val="24"/>
          <w:szCs w:val="24"/>
        </w:rPr>
        <w:t>’s</w:t>
      </w:r>
      <w:r>
        <w:rPr>
          <w:rFonts w:ascii="Times New Roman" w:hAnsi="Times New Roman"/>
          <w:sz w:val="24"/>
          <w:szCs w:val="24"/>
        </w:rPr>
        <w:t xml:space="preserve"> rules for a lender of last resort</w:t>
      </w:r>
      <w:r w:rsidR="000C092B">
        <w:rPr>
          <w:rFonts w:ascii="Times New Roman" w:hAnsi="Times New Roman"/>
          <w:sz w:val="24"/>
          <w:szCs w:val="24"/>
        </w:rPr>
        <w:t>.</w:t>
      </w:r>
    </w:p>
    <w:p w:rsidR="00A06863" w:rsidRDefault="003E167E" w:rsidP="00A06863">
      <w:pPr>
        <w:spacing w:line="360" w:lineRule="auto"/>
        <w:rPr>
          <w:rFonts w:ascii="Times New Roman" w:hAnsi="Times New Roman"/>
          <w:sz w:val="24"/>
          <w:szCs w:val="24"/>
        </w:rPr>
      </w:pPr>
      <w:r>
        <w:rPr>
          <w:rFonts w:ascii="Times New Roman" w:hAnsi="Times New Roman"/>
          <w:sz w:val="24"/>
          <w:szCs w:val="24"/>
        </w:rPr>
        <w:lastRenderedPageBreak/>
        <w:t xml:space="preserve">The third remedy would </w:t>
      </w:r>
      <w:r w:rsidR="00A06863">
        <w:rPr>
          <w:rFonts w:ascii="Times New Roman" w:hAnsi="Times New Roman"/>
          <w:sz w:val="24"/>
          <w:szCs w:val="24"/>
        </w:rPr>
        <w:t>be to remove the tax deductibility of debt</w:t>
      </w:r>
      <w:r w:rsidR="003E5E56">
        <w:rPr>
          <w:rFonts w:ascii="Times New Roman" w:hAnsi="Times New Roman"/>
          <w:sz w:val="24"/>
          <w:szCs w:val="24"/>
        </w:rPr>
        <w:t>,</w:t>
      </w:r>
      <w:r w:rsidR="00A06863">
        <w:rPr>
          <w:rFonts w:ascii="Times New Roman" w:hAnsi="Times New Roman"/>
          <w:sz w:val="24"/>
          <w:szCs w:val="24"/>
        </w:rPr>
        <w:t xml:space="preserve"> and allow firms to deduct an allowance for corporate equity from profits. This would switch the incentives for banks to finance themselves through equity rather than debt. </w:t>
      </w:r>
    </w:p>
    <w:p w:rsidR="008C2C39" w:rsidRDefault="00A06863" w:rsidP="00A06863">
      <w:pPr>
        <w:spacing w:line="360" w:lineRule="auto"/>
        <w:rPr>
          <w:rFonts w:ascii="Times New Roman" w:hAnsi="Times New Roman"/>
          <w:sz w:val="24"/>
          <w:szCs w:val="24"/>
        </w:rPr>
      </w:pPr>
      <w:r>
        <w:rPr>
          <w:rFonts w:ascii="Times New Roman" w:hAnsi="Times New Roman"/>
          <w:sz w:val="24"/>
          <w:szCs w:val="24"/>
        </w:rPr>
        <w:t xml:space="preserve">The </w:t>
      </w:r>
      <w:r w:rsidR="008C2C39">
        <w:rPr>
          <w:rFonts w:ascii="Times New Roman" w:hAnsi="Times New Roman"/>
          <w:sz w:val="24"/>
          <w:szCs w:val="24"/>
        </w:rPr>
        <w:t>fourth</w:t>
      </w:r>
      <w:r>
        <w:rPr>
          <w:rFonts w:ascii="Times New Roman" w:hAnsi="Times New Roman"/>
          <w:sz w:val="24"/>
          <w:szCs w:val="24"/>
        </w:rPr>
        <w:t xml:space="preserve"> is to remove the asymmetric payoffs caused by the switch to limited from unlimited liability in banking. Contingent convertible securities (</w:t>
      </w:r>
      <w:proofErr w:type="spellStart"/>
      <w:r>
        <w:rPr>
          <w:rFonts w:ascii="Times New Roman" w:hAnsi="Times New Roman"/>
          <w:sz w:val="24"/>
          <w:szCs w:val="24"/>
        </w:rPr>
        <w:t>CoCos</w:t>
      </w:r>
      <w:proofErr w:type="spellEnd"/>
      <w:r>
        <w:rPr>
          <w:rFonts w:ascii="Times New Roman" w:hAnsi="Times New Roman"/>
          <w:sz w:val="24"/>
          <w:szCs w:val="24"/>
        </w:rPr>
        <w:t>), which are debt in good times and convert to equity in bad, could combine the risk incentives of debt and equity</w:t>
      </w:r>
      <w:r w:rsidR="003E5E56">
        <w:rPr>
          <w:rFonts w:ascii="Times New Roman" w:hAnsi="Times New Roman"/>
          <w:sz w:val="24"/>
          <w:szCs w:val="24"/>
        </w:rPr>
        <w:t>,</w:t>
      </w:r>
      <w:r>
        <w:rPr>
          <w:rFonts w:ascii="Times New Roman" w:hAnsi="Times New Roman"/>
          <w:sz w:val="24"/>
          <w:szCs w:val="24"/>
        </w:rPr>
        <w:t xml:space="preserve"> hav</w:t>
      </w:r>
      <w:r w:rsidR="003E5E56">
        <w:rPr>
          <w:rFonts w:ascii="Times New Roman" w:hAnsi="Times New Roman"/>
          <w:sz w:val="24"/>
          <w:szCs w:val="24"/>
        </w:rPr>
        <w:t>ing</w:t>
      </w:r>
      <w:r>
        <w:rPr>
          <w:rFonts w:ascii="Times New Roman" w:hAnsi="Times New Roman"/>
          <w:sz w:val="24"/>
          <w:szCs w:val="24"/>
        </w:rPr>
        <w:t xml:space="preserve"> a combined payoff schedule mimic</w:t>
      </w:r>
      <w:r w:rsidR="000C092B">
        <w:rPr>
          <w:rFonts w:ascii="Times New Roman" w:hAnsi="Times New Roman"/>
          <w:sz w:val="24"/>
          <w:szCs w:val="24"/>
        </w:rPr>
        <w:t>k</w:t>
      </w:r>
      <w:r w:rsidR="003E5E56">
        <w:rPr>
          <w:rFonts w:ascii="Times New Roman" w:hAnsi="Times New Roman"/>
          <w:sz w:val="24"/>
          <w:szCs w:val="24"/>
        </w:rPr>
        <w:t>ing</w:t>
      </w:r>
      <w:r>
        <w:rPr>
          <w:rFonts w:ascii="Times New Roman" w:hAnsi="Times New Roman"/>
          <w:sz w:val="24"/>
          <w:szCs w:val="24"/>
        </w:rPr>
        <w:t xml:space="preserve"> unlimited liability. But </w:t>
      </w:r>
      <w:r w:rsidR="003E5E56">
        <w:rPr>
          <w:rFonts w:ascii="Times New Roman" w:hAnsi="Times New Roman"/>
          <w:sz w:val="24"/>
          <w:szCs w:val="24"/>
        </w:rPr>
        <w:t>t</w:t>
      </w:r>
      <w:r>
        <w:rPr>
          <w:rFonts w:ascii="Times New Roman" w:hAnsi="Times New Roman"/>
          <w:sz w:val="24"/>
          <w:szCs w:val="24"/>
        </w:rPr>
        <w:t xml:space="preserve">here would have to be an automatic non-discretionary trigger for the conversion, well before bankruptcy. Haldane shows </w:t>
      </w:r>
      <w:r w:rsidR="003E5E56">
        <w:rPr>
          <w:rFonts w:ascii="Times New Roman" w:hAnsi="Times New Roman"/>
          <w:sz w:val="24"/>
          <w:szCs w:val="24"/>
        </w:rPr>
        <w:t xml:space="preserve">this </w:t>
      </w:r>
      <w:r>
        <w:rPr>
          <w:rFonts w:ascii="Times New Roman" w:hAnsi="Times New Roman"/>
          <w:sz w:val="24"/>
          <w:szCs w:val="24"/>
        </w:rPr>
        <w:t>is best provided by equity prices. “Equity prices called the crisis early and differentiated the sick from the sound. Market discipline worked</w:t>
      </w:r>
      <w:proofErr w:type="gramStart"/>
      <w:r>
        <w:rPr>
          <w:rFonts w:ascii="Times New Roman" w:hAnsi="Times New Roman"/>
          <w:sz w:val="24"/>
          <w:szCs w:val="24"/>
        </w:rPr>
        <w:t>”</w:t>
      </w:r>
      <w:r w:rsidR="000C092B">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p.16).</w:t>
      </w:r>
      <w:r w:rsidR="003E5E56">
        <w:rPr>
          <w:rFonts w:ascii="Times New Roman" w:hAnsi="Times New Roman"/>
          <w:sz w:val="24"/>
          <w:szCs w:val="24"/>
        </w:rPr>
        <w:t xml:space="preserve"> Moreover, r</w:t>
      </w:r>
      <w:r>
        <w:rPr>
          <w:rFonts w:ascii="Times New Roman" w:hAnsi="Times New Roman"/>
          <w:sz w:val="24"/>
          <w:szCs w:val="24"/>
        </w:rPr>
        <w:t>emunerat</w:t>
      </w:r>
      <w:r w:rsidR="003E5E56">
        <w:rPr>
          <w:rFonts w:ascii="Times New Roman" w:hAnsi="Times New Roman"/>
          <w:sz w:val="24"/>
          <w:szCs w:val="24"/>
        </w:rPr>
        <w:t xml:space="preserve">ing bank </w:t>
      </w:r>
      <w:r>
        <w:rPr>
          <w:rFonts w:ascii="Times New Roman" w:hAnsi="Times New Roman"/>
          <w:sz w:val="24"/>
          <w:szCs w:val="24"/>
        </w:rPr>
        <w:t xml:space="preserve">CEO’s in </w:t>
      </w:r>
      <w:proofErr w:type="spellStart"/>
      <w:r>
        <w:rPr>
          <w:rFonts w:ascii="Times New Roman" w:hAnsi="Times New Roman"/>
          <w:sz w:val="24"/>
          <w:szCs w:val="24"/>
        </w:rPr>
        <w:t>CoCo’s</w:t>
      </w:r>
      <w:proofErr w:type="spellEnd"/>
      <w:r>
        <w:rPr>
          <w:rFonts w:ascii="Times New Roman" w:hAnsi="Times New Roman"/>
          <w:sz w:val="24"/>
          <w:szCs w:val="24"/>
        </w:rPr>
        <w:t xml:space="preserve">, </w:t>
      </w:r>
      <w:r w:rsidR="003E5E56">
        <w:rPr>
          <w:rFonts w:ascii="Times New Roman" w:hAnsi="Times New Roman"/>
          <w:sz w:val="24"/>
          <w:szCs w:val="24"/>
        </w:rPr>
        <w:t xml:space="preserve">would provide </w:t>
      </w:r>
      <w:r>
        <w:rPr>
          <w:rFonts w:ascii="Times New Roman" w:hAnsi="Times New Roman"/>
          <w:sz w:val="24"/>
          <w:szCs w:val="24"/>
        </w:rPr>
        <w:t xml:space="preserve">a potent incentive to </w:t>
      </w:r>
      <w:r w:rsidR="003E5E56">
        <w:rPr>
          <w:rFonts w:ascii="Times New Roman" w:hAnsi="Times New Roman"/>
          <w:sz w:val="24"/>
          <w:szCs w:val="24"/>
        </w:rPr>
        <w:t xml:space="preserve">avoid risky bets, to </w:t>
      </w:r>
      <w:r>
        <w:rPr>
          <w:rFonts w:ascii="Times New Roman" w:hAnsi="Times New Roman"/>
          <w:sz w:val="24"/>
          <w:szCs w:val="24"/>
        </w:rPr>
        <w:t xml:space="preserve">prevent equity from conversion if their equity price signaled their bank was in distress. </w:t>
      </w:r>
    </w:p>
    <w:p w:rsidR="00E250B3" w:rsidRDefault="008C2C39" w:rsidP="00E250B3">
      <w:pPr>
        <w:spacing w:line="360" w:lineRule="auto"/>
        <w:rPr>
          <w:rFonts w:ascii="Times New Roman" w:hAnsi="Times New Roman"/>
          <w:sz w:val="24"/>
          <w:szCs w:val="24"/>
        </w:rPr>
      </w:pPr>
      <w:r>
        <w:rPr>
          <w:rFonts w:ascii="Times New Roman" w:hAnsi="Times New Roman"/>
          <w:sz w:val="24"/>
          <w:szCs w:val="24"/>
        </w:rPr>
        <w:t>But my major conclusions</w:t>
      </w:r>
      <w:r w:rsidR="00E250B3">
        <w:rPr>
          <w:rFonts w:ascii="Times New Roman" w:hAnsi="Times New Roman"/>
          <w:sz w:val="24"/>
          <w:szCs w:val="24"/>
        </w:rPr>
        <w:t xml:space="preserve"> from this and ea</w:t>
      </w:r>
      <w:r w:rsidR="0009572C">
        <w:rPr>
          <w:rFonts w:ascii="Times New Roman" w:hAnsi="Times New Roman"/>
          <w:sz w:val="24"/>
          <w:szCs w:val="24"/>
        </w:rPr>
        <w:t>r</w:t>
      </w:r>
      <w:r w:rsidR="00E250B3">
        <w:rPr>
          <w:rFonts w:ascii="Times New Roman" w:hAnsi="Times New Roman"/>
          <w:sz w:val="24"/>
          <w:szCs w:val="24"/>
        </w:rPr>
        <w:t>lier colu</w:t>
      </w:r>
      <w:r w:rsidR="003E5E56">
        <w:rPr>
          <w:rFonts w:ascii="Times New Roman" w:hAnsi="Times New Roman"/>
          <w:sz w:val="24"/>
          <w:szCs w:val="24"/>
        </w:rPr>
        <w:t>mn</w:t>
      </w:r>
      <w:r w:rsidR="00E250B3">
        <w:rPr>
          <w:rFonts w:ascii="Times New Roman" w:hAnsi="Times New Roman"/>
          <w:sz w:val="24"/>
          <w:szCs w:val="24"/>
        </w:rPr>
        <w:t>s is that</w:t>
      </w:r>
      <w:r w:rsidR="00C10DE2">
        <w:rPr>
          <w:rFonts w:ascii="Times New Roman" w:hAnsi="Times New Roman"/>
          <w:sz w:val="24"/>
          <w:szCs w:val="24"/>
        </w:rPr>
        <w:t>,</w:t>
      </w:r>
      <w:r w:rsidR="00E250B3">
        <w:rPr>
          <w:rFonts w:ascii="Times New Roman" w:hAnsi="Times New Roman"/>
          <w:sz w:val="24"/>
          <w:szCs w:val="24"/>
        </w:rPr>
        <w:t xml:space="preserve"> to avoid a repeat of the GFC</w:t>
      </w:r>
      <w:r>
        <w:rPr>
          <w:rFonts w:ascii="Times New Roman" w:hAnsi="Times New Roman"/>
          <w:sz w:val="24"/>
          <w:szCs w:val="24"/>
        </w:rPr>
        <w:t xml:space="preserve"> </w:t>
      </w:r>
      <w:r w:rsidR="00E250B3">
        <w:rPr>
          <w:rFonts w:ascii="Times New Roman" w:hAnsi="Times New Roman"/>
          <w:sz w:val="24"/>
          <w:szCs w:val="24"/>
        </w:rPr>
        <w:t>the Glass-</w:t>
      </w:r>
      <w:proofErr w:type="spellStart"/>
      <w:r w:rsidR="00E250B3">
        <w:rPr>
          <w:rFonts w:ascii="Times New Roman" w:hAnsi="Times New Roman"/>
          <w:sz w:val="24"/>
          <w:szCs w:val="24"/>
        </w:rPr>
        <w:t>Seagall</w:t>
      </w:r>
      <w:proofErr w:type="spellEnd"/>
      <w:r w:rsidR="00E250B3">
        <w:rPr>
          <w:rFonts w:ascii="Times New Roman" w:hAnsi="Times New Roman"/>
          <w:sz w:val="24"/>
          <w:szCs w:val="24"/>
        </w:rPr>
        <w:t xml:space="preserve"> Act should be re-enacted, despite the opposition of the banks. Whilst, in the face of the balance sheet recession resulting from the Hayekian bust , open market operations should be used </w:t>
      </w:r>
      <w:r w:rsidR="0009572C">
        <w:rPr>
          <w:rFonts w:ascii="Times New Roman" w:hAnsi="Times New Roman"/>
          <w:sz w:val="24"/>
          <w:szCs w:val="24"/>
        </w:rPr>
        <w:t xml:space="preserve">by the Central Bank </w:t>
      </w:r>
      <w:r w:rsidR="00E250B3">
        <w:rPr>
          <w:rFonts w:ascii="Times New Roman" w:hAnsi="Times New Roman"/>
          <w:sz w:val="24"/>
          <w:szCs w:val="24"/>
        </w:rPr>
        <w:t xml:space="preserve">to increase the broad money supply to keep nominal GDP on a steady course (with possibly a complementary inflation target), but with no attempt at credit allocation. </w:t>
      </w:r>
      <w:r w:rsidR="0009572C">
        <w:rPr>
          <w:rFonts w:ascii="Times New Roman" w:hAnsi="Times New Roman"/>
          <w:sz w:val="24"/>
          <w:szCs w:val="24"/>
        </w:rPr>
        <w:t xml:space="preserve">For the financial system, there should be no </w:t>
      </w:r>
      <w:r w:rsidR="00E250B3">
        <w:rPr>
          <w:rFonts w:ascii="Times New Roman" w:hAnsi="Times New Roman"/>
          <w:sz w:val="24"/>
          <w:szCs w:val="24"/>
        </w:rPr>
        <w:t>obeisance to TB</w:t>
      </w:r>
      <w:r w:rsidR="003E5E56">
        <w:rPr>
          <w:rFonts w:ascii="Times New Roman" w:hAnsi="Times New Roman"/>
          <w:sz w:val="24"/>
          <w:szCs w:val="24"/>
        </w:rPr>
        <w:t>T</w:t>
      </w:r>
      <w:r w:rsidR="00E250B3">
        <w:rPr>
          <w:rFonts w:ascii="Times New Roman" w:hAnsi="Times New Roman"/>
          <w:sz w:val="24"/>
          <w:szCs w:val="24"/>
        </w:rPr>
        <w:t>F</w:t>
      </w:r>
      <w:r w:rsidR="0009572C">
        <w:rPr>
          <w:rFonts w:ascii="Times New Roman" w:hAnsi="Times New Roman"/>
          <w:sz w:val="24"/>
          <w:szCs w:val="24"/>
        </w:rPr>
        <w:t>.</w:t>
      </w:r>
      <w:r w:rsidR="00E250B3">
        <w:rPr>
          <w:rFonts w:ascii="Times New Roman" w:hAnsi="Times New Roman"/>
          <w:sz w:val="24"/>
          <w:szCs w:val="24"/>
        </w:rPr>
        <w:t xml:space="preserve"> </w:t>
      </w:r>
      <w:r w:rsidR="0009572C">
        <w:rPr>
          <w:rFonts w:ascii="Times New Roman" w:hAnsi="Times New Roman"/>
          <w:sz w:val="24"/>
          <w:szCs w:val="24"/>
        </w:rPr>
        <w:t>T</w:t>
      </w:r>
      <w:r w:rsidR="00E250B3">
        <w:rPr>
          <w:rFonts w:ascii="Times New Roman" w:hAnsi="Times New Roman"/>
          <w:sz w:val="24"/>
          <w:szCs w:val="24"/>
        </w:rPr>
        <w:t>he Bag</w:t>
      </w:r>
      <w:r w:rsidR="0009572C">
        <w:rPr>
          <w:rFonts w:ascii="Times New Roman" w:hAnsi="Times New Roman"/>
          <w:sz w:val="24"/>
          <w:szCs w:val="24"/>
        </w:rPr>
        <w:t>e</w:t>
      </w:r>
      <w:r w:rsidR="00E250B3">
        <w:rPr>
          <w:rFonts w:ascii="Times New Roman" w:hAnsi="Times New Roman"/>
          <w:sz w:val="24"/>
          <w:szCs w:val="24"/>
        </w:rPr>
        <w:t xml:space="preserve">hot </w:t>
      </w:r>
      <w:r w:rsidR="0009572C">
        <w:rPr>
          <w:rFonts w:ascii="Times New Roman" w:hAnsi="Times New Roman"/>
          <w:sz w:val="24"/>
          <w:szCs w:val="24"/>
        </w:rPr>
        <w:t>‘</w:t>
      </w:r>
      <w:r w:rsidR="00E250B3">
        <w:rPr>
          <w:rFonts w:ascii="Times New Roman" w:hAnsi="Times New Roman"/>
          <w:sz w:val="24"/>
          <w:szCs w:val="24"/>
        </w:rPr>
        <w:t>lender of last resort rules</w:t>
      </w:r>
      <w:r w:rsidR="0009572C">
        <w:rPr>
          <w:rFonts w:ascii="Times New Roman" w:hAnsi="Times New Roman"/>
          <w:sz w:val="24"/>
          <w:szCs w:val="24"/>
        </w:rPr>
        <w:t>’</w:t>
      </w:r>
      <w:r w:rsidR="00E250B3">
        <w:rPr>
          <w:rFonts w:ascii="Times New Roman" w:hAnsi="Times New Roman"/>
          <w:sz w:val="24"/>
          <w:szCs w:val="24"/>
        </w:rPr>
        <w:t xml:space="preserve"> should be applied to all the financial institutions in distress, with </w:t>
      </w:r>
      <w:r w:rsidR="0009572C">
        <w:rPr>
          <w:rFonts w:ascii="Times New Roman" w:hAnsi="Times New Roman"/>
          <w:sz w:val="24"/>
          <w:szCs w:val="24"/>
        </w:rPr>
        <w:t xml:space="preserve">illiquid but solvent institutions being provided loans at a ‘penalty rate’, and </w:t>
      </w:r>
      <w:r w:rsidR="00E250B3">
        <w:rPr>
          <w:rFonts w:ascii="Times New Roman" w:hAnsi="Times New Roman"/>
          <w:sz w:val="24"/>
          <w:szCs w:val="24"/>
        </w:rPr>
        <w:t xml:space="preserve">those deemed insolvent being put into receivership under the </w:t>
      </w:r>
      <w:r w:rsidR="00C10DE2">
        <w:rPr>
          <w:rFonts w:ascii="Times New Roman" w:hAnsi="Times New Roman"/>
          <w:sz w:val="24"/>
          <w:szCs w:val="24"/>
        </w:rPr>
        <w:t xml:space="preserve">equivalent of the US’ </w:t>
      </w:r>
      <w:r w:rsidR="00E250B3">
        <w:rPr>
          <w:rFonts w:ascii="Times New Roman" w:hAnsi="Times New Roman"/>
          <w:sz w:val="24"/>
          <w:szCs w:val="24"/>
        </w:rPr>
        <w:t xml:space="preserve">FDIC.        </w:t>
      </w:r>
    </w:p>
    <w:p w:rsidR="00A06863" w:rsidRDefault="00A06863" w:rsidP="00A06863">
      <w:pPr>
        <w:spacing w:line="360" w:lineRule="auto"/>
        <w:rPr>
          <w:rFonts w:ascii="Times New Roman" w:hAnsi="Times New Roman"/>
          <w:sz w:val="24"/>
          <w:szCs w:val="24"/>
        </w:rPr>
      </w:pPr>
      <w:r>
        <w:rPr>
          <w:rFonts w:ascii="Times New Roman" w:hAnsi="Times New Roman"/>
          <w:sz w:val="24"/>
          <w:szCs w:val="24"/>
        </w:rPr>
        <w:t xml:space="preserve">               </w:t>
      </w:r>
    </w:p>
    <w:sectPr w:rsidR="00A068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E2" w:rsidRDefault="008072E2" w:rsidP="00263C11">
      <w:pPr>
        <w:spacing w:after="0" w:line="240" w:lineRule="auto"/>
      </w:pPr>
      <w:r>
        <w:separator/>
      </w:r>
    </w:p>
  </w:endnote>
  <w:endnote w:type="continuationSeparator" w:id="0">
    <w:p w:rsidR="008072E2" w:rsidRDefault="008072E2" w:rsidP="0026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E2" w:rsidRDefault="008072E2" w:rsidP="00263C11">
      <w:pPr>
        <w:spacing w:after="0" w:line="240" w:lineRule="auto"/>
      </w:pPr>
      <w:r>
        <w:separator/>
      </w:r>
    </w:p>
  </w:footnote>
  <w:footnote w:type="continuationSeparator" w:id="0">
    <w:p w:rsidR="008072E2" w:rsidRDefault="008072E2" w:rsidP="00263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83395"/>
      <w:docPartObj>
        <w:docPartGallery w:val="Page Numbers (Top of Page)"/>
        <w:docPartUnique/>
      </w:docPartObj>
    </w:sdtPr>
    <w:sdtEndPr>
      <w:rPr>
        <w:noProof/>
      </w:rPr>
    </w:sdtEndPr>
    <w:sdtContent>
      <w:p w:rsidR="00263C11" w:rsidRDefault="00263C11">
        <w:pPr>
          <w:pStyle w:val="Header"/>
          <w:jc w:val="right"/>
        </w:pPr>
        <w:r>
          <w:fldChar w:fldCharType="begin"/>
        </w:r>
        <w:r>
          <w:instrText xml:space="preserve"> PAGE   \* MERGEFORMAT </w:instrText>
        </w:r>
        <w:r>
          <w:fldChar w:fldCharType="separate"/>
        </w:r>
        <w:r w:rsidR="00C55874">
          <w:rPr>
            <w:noProof/>
          </w:rPr>
          <w:t>1</w:t>
        </w:r>
        <w:r>
          <w:rPr>
            <w:noProof/>
          </w:rPr>
          <w:fldChar w:fldCharType="end"/>
        </w:r>
      </w:p>
    </w:sdtContent>
  </w:sdt>
  <w:p w:rsidR="00263C11" w:rsidRDefault="00263C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63"/>
    <w:rsid w:val="0009572C"/>
    <w:rsid w:val="000C092B"/>
    <w:rsid w:val="00263C11"/>
    <w:rsid w:val="00286F7C"/>
    <w:rsid w:val="002B2034"/>
    <w:rsid w:val="002B5562"/>
    <w:rsid w:val="003A2B10"/>
    <w:rsid w:val="003E167E"/>
    <w:rsid w:val="003E5E56"/>
    <w:rsid w:val="004D61E2"/>
    <w:rsid w:val="0076661B"/>
    <w:rsid w:val="007F7539"/>
    <w:rsid w:val="008072E2"/>
    <w:rsid w:val="008126C5"/>
    <w:rsid w:val="008A0F9B"/>
    <w:rsid w:val="008B0C4E"/>
    <w:rsid w:val="008C0358"/>
    <w:rsid w:val="008C2C39"/>
    <w:rsid w:val="0098312C"/>
    <w:rsid w:val="00A06863"/>
    <w:rsid w:val="00BC2EC6"/>
    <w:rsid w:val="00BE7DDB"/>
    <w:rsid w:val="00C10DE2"/>
    <w:rsid w:val="00C1486B"/>
    <w:rsid w:val="00C55874"/>
    <w:rsid w:val="00D56A76"/>
    <w:rsid w:val="00DF04E3"/>
    <w:rsid w:val="00E174BC"/>
    <w:rsid w:val="00E250B3"/>
    <w:rsid w:val="00EF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C11"/>
    <w:rPr>
      <w:rFonts w:ascii="Calibri" w:eastAsia="Calibri" w:hAnsi="Calibri" w:cs="Times New Roman"/>
    </w:rPr>
  </w:style>
  <w:style w:type="paragraph" w:styleId="Footer">
    <w:name w:val="footer"/>
    <w:basedOn w:val="Normal"/>
    <w:link w:val="FooterChar"/>
    <w:uiPriority w:val="99"/>
    <w:unhideWhenUsed/>
    <w:rsid w:val="00263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C11"/>
    <w:rPr>
      <w:rFonts w:ascii="Calibri" w:eastAsia="Calibri" w:hAnsi="Calibri" w:cs="Times New Roman"/>
    </w:rPr>
  </w:style>
  <w:style w:type="paragraph" w:styleId="BalloonText">
    <w:name w:val="Balloon Text"/>
    <w:basedOn w:val="Normal"/>
    <w:link w:val="BalloonTextChar"/>
    <w:uiPriority w:val="99"/>
    <w:semiHidden/>
    <w:unhideWhenUsed/>
    <w:rsid w:val="0026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C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C11"/>
    <w:rPr>
      <w:rFonts w:ascii="Calibri" w:eastAsia="Calibri" w:hAnsi="Calibri" w:cs="Times New Roman"/>
    </w:rPr>
  </w:style>
  <w:style w:type="paragraph" w:styleId="Footer">
    <w:name w:val="footer"/>
    <w:basedOn w:val="Normal"/>
    <w:link w:val="FooterChar"/>
    <w:uiPriority w:val="99"/>
    <w:unhideWhenUsed/>
    <w:rsid w:val="00263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C11"/>
    <w:rPr>
      <w:rFonts w:ascii="Calibri" w:eastAsia="Calibri" w:hAnsi="Calibri" w:cs="Times New Roman"/>
    </w:rPr>
  </w:style>
  <w:style w:type="paragraph" w:styleId="BalloonText">
    <w:name w:val="Balloon Text"/>
    <w:basedOn w:val="Normal"/>
    <w:link w:val="BalloonTextChar"/>
    <w:uiPriority w:val="99"/>
    <w:semiHidden/>
    <w:unhideWhenUsed/>
    <w:rsid w:val="0026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C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5923</Characters>
  <Application>Microsoft Office Word</Application>
  <DocSecurity>0</DocSecurity>
  <Lines>84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dlal</dc:creator>
  <cp:lastModifiedBy>dlal</cp:lastModifiedBy>
  <cp:revision>2</cp:revision>
  <cp:lastPrinted>2012-10-16T16:52:00Z</cp:lastPrinted>
  <dcterms:created xsi:type="dcterms:W3CDTF">2012-10-16T17:13:00Z</dcterms:created>
  <dcterms:modified xsi:type="dcterms:W3CDTF">2012-10-16T17:13:00Z</dcterms:modified>
</cp:coreProperties>
</file>